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B2545"/>
        </w:rPr>
        <w:t>Reporte Financiero Consolidado – Q1 2026</w:t>
      </w:r>
    </w:p>
    <w:p>
      <w:pPr>
        <w:pStyle w:val="Heading1"/>
      </w:pPr>
      <w:r>
        <w:rPr>
          <w:color w:val="0B2545"/>
        </w:rPr>
        <w:t>Grupo Salinas – Uso Interno / Confidencial</w:t>
      </w:r>
    </w:p>
    <w:p>
      <w:r>
        <w:rPr>
          <w:b/>
        </w:rPr>
        <w:t>Fecha:</w:t>
      </w:r>
      <w:r>
        <w:t xml:space="preserve"> 15 de abril de 2026</w:t>
      </w:r>
    </w:p>
    <w:p>
      <w:r>
        <w:rPr>
          <w:b/>
        </w:rPr>
        <w:t>Preparado por:</w:t>
      </w:r>
      <w:r>
        <w:t xml:space="preserve"> Dirección de Finanzas Corporativas</w:t>
      </w:r>
    </w:p>
    <w:p>
      <w:r>
        <w:rPr>
          <w:b/>
        </w:rPr>
        <w:t>Distribución:</w:t>
      </w:r>
      <w:r>
        <w:t xml:space="preserve"> Comité Ejecutivo, CFOs de Unidad de Negocio</w:t>
      </w:r>
    </w:p>
    <w:p>
      <w:pPr>
        <w:pBdr>
          <w:bottom w:val="single" w:sz="6" w:space="1" w:color="B0B6C2"/>
        </w:pBdr>
      </w:pPr>
    </w:p>
    <w:p>
      <w:pPr>
        <w:pStyle w:val="Heading2"/>
      </w:pPr>
      <w:r>
        <w:rPr>
          <w:color w:val="0B2545"/>
        </w:rPr>
        <w:t>1. Resumen Ejecutivo</w:t>
      </w:r>
    </w:p>
    <w:p>
      <w:r>
        <w:t xml:space="preserve">Grupo Salinas cerró el primer trimestre de 2026 con ingresos consolidados de </w:t>
      </w:r>
      <w:r>
        <w:rPr>
          <w:b/>
        </w:rPr>
        <w:t>MXN 58,420 millones</w:t>
      </w:r>
      <w:r>
        <w:t xml:space="preserve">, un incremento de </w:t>
      </w:r>
      <w:r>
        <w:rPr>
          <w:b/>
        </w:rPr>
        <w:t>6.8% año contra año</w:t>
      </w:r>
      <w:r>
        <w:t xml:space="preserve"> (YoY), impulsado principalmente por Banco Azteca y Totalplay. El EBITDA consolidado alcanzó </w:t>
      </w:r>
      <w:r>
        <w:rPr>
          <w:b/>
        </w:rPr>
        <w:t>MXN 11,210 millones</w:t>
      </w:r>
      <w:r>
        <w:t>, con margen de 19.2%, ligeramente por debajo del 20.1% registrado en Q1 2025 debido a presiones inflacionarias en el costo de adquisición de clientes y mayor provisión de reservas crediticias en Banco Azteca.</w:t>
      </w:r>
    </w:p>
    <w:p>
      <w:pPr>
        <w:pStyle w:val="Heading2"/>
      </w:pPr>
      <w:r>
        <w:rPr>
          <w:color w:val="0B2545"/>
        </w:rPr>
        <w:t>2. Desempeño por Unidad de Negocio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949"/>
        <w:gridCol w:w="1949"/>
        <w:gridCol w:w="1949"/>
        <w:gridCol w:w="1949"/>
        <w:gridCol w:w="1949"/>
      </w:tblGrid>
      <w:tr>
        <w:tc>
          <w:tcPr>
            <w:tcW w:type="dxa" w:w="1949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Unidad de Negocio</w:t>
            </w:r>
          </w:p>
        </w:tc>
        <w:tc>
          <w:tcPr>
            <w:tcW w:type="dxa" w:w="1949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Ingresos Q1 2026 (MXN M)</w:t>
            </w:r>
          </w:p>
        </w:tc>
        <w:tc>
          <w:tcPr>
            <w:tcW w:type="dxa" w:w="1949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Var. YoY</w:t>
            </w:r>
          </w:p>
        </w:tc>
        <w:tc>
          <w:tcPr>
            <w:tcW w:type="dxa" w:w="1949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EBITDA (MXN M)</w:t>
            </w:r>
          </w:p>
        </w:tc>
        <w:tc>
          <w:tcPr>
            <w:tcW w:type="dxa" w:w="1949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Margen EBITDA</w:t>
            </w:r>
          </w:p>
        </w:tc>
      </w:tr>
      <w:tr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Banco Azteca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22,850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+9.4%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5,830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25.5%</w:t>
            </w:r>
          </w:p>
        </w:tc>
      </w:tr>
      <w:tr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Grupo Elektra (retail)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18,340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+3.1%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2,110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11.5%</w:t>
            </w:r>
          </w:p>
        </w:tc>
      </w:tr>
      <w:tr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Totalplay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9,720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+12.6%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2,480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25.5%</w:t>
            </w:r>
          </w:p>
        </w:tc>
      </w:tr>
      <w:tr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TV Azteca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4,210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-4.2%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420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10.0%</w:t>
            </w:r>
          </w:p>
        </w:tc>
      </w:tr>
      <w:tr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Italika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2,180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+5.8%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250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11.5%</w:t>
            </w:r>
          </w:p>
        </w:tc>
      </w:tr>
      <w:tr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Otros / Corporativo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1,120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+1.5%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120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sz w:val="21"/>
              </w:rPr>
              <w:t>10.7%</w:t>
            </w:r>
          </w:p>
        </w:tc>
      </w:tr>
      <w:tr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b/>
                <w:sz w:val="21"/>
              </w:rPr>
              <w:t>Consolidado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b/>
                <w:sz w:val="21"/>
              </w:rPr>
              <w:t>58,420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b/>
                <w:sz w:val="21"/>
              </w:rPr>
              <w:t>+6.8%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b/>
                <w:sz w:val="21"/>
              </w:rPr>
              <w:t>11,210</w:t>
            </w:r>
          </w:p>
        </w:tc>
        <w:tc>
          <w:tcPr>
            <w:tcW w:type="dxa" w:w="1949"/>
          </w:tcPr>
          <w:p>
            <w:r>
              <w:rPr>
                <w:sz w:val="21"/>
              </w:rPr>
            </w:r>
            <w:r>
              <w:rPr>
                <w:b/>
                <w:sz w:val="21"/>
              </w:rPr>
              <w:t>19.2%</w:t>
            </w:r>
          </w:p>
        </w:tc>
      </w:tr>
    </w:tbl>
    <w:p/>
    <w:p>
      <w:pPr>
        <w:pStyle w:val="Heading2"/>
      </w:pPr>
      <w:r>
        <w:rPr>
          <w:color w:val="0B2545"/>
        </w:rPr>
        <w:t>3. Indicadores Clave</w:t>
      </w:r>
    </w:p>
    <w:p>
      <w:pPr>
        <w:pStyle w:val="ListBullet"/>
      </w:pPr>
      <w:r>
        <w:rPr>
          <w:b/>
        </w:rPr>
        <w:t>Cartera crediticia total (Banco Azteca):</w:t>
      </w:r>
      <w:r>
        <w:t xml:space="preserve"> MXN 198,500 millones (+11.3% YoY)</w:t>
      </w:r>
    </w:p>
    <w:p>
      <w:pPr>
        <w:pStyle w:val="ListBullet"/>
      </w:pPr>
      <w:r>
        <w:rPr>
          <w:b/>
        </w:rPr>
        <w:t>Índice de Morosidad (IMOR):</w:t>
      </w:r>
      <w:r>
        <w:t xml:space="preserve"> 4.8% (vs. 4.1% en Q1 2025) – </w:t>
      </w:r>
      <w:r>
        <w:rPr>
          <w:b/>
        </w:rPr>
        <w:t>alerta amarilla</w:t>
      </w:r>
    </w:p>
    <w:p>
      <w:pPr>
        <w:pStyle w:val="ListBullet"/>
      </w:pPr>
      <w:r>
        <w:rPr>
          <w:b/>
        </w:rPr>
        <w:t>Suscriptores Totalplay:</w:t>
      </w:r>
      <w:r>
        <w:t xml:space="preserve"> 5.42 millones (+640 mil netos YoY)</w:t>
      </w:r>
    </w:p>
    <w:p>
      <w:pPr>
        <w:pStyle w:val="ListBullet"/>
      </w:pPr>
      <w:r>
        <w:rPr>
          <w:b/>
        </w:rPr>
        <w:t>Tiendas Elektra operando:</w:t>
      </w:r>
      <w:r>
        <w:t xml:space="preserve"> 1,182 (vs. 1,215 en Q1 2025) – cierre selectivo de puntos de baja rentabilidad</w:t>
      </w:r>
    </w:p>
    <w:p>
      <w:pPr>
        <w:pStyle w:val="ListBullet"/>
      </w:pPr>
      <w:r>
        <w:rPr>
          <w:b/>
        </w:rPr>
        <w:t>Rating puntaje TV Azteca prime time:</w:t>
      </w:r>
      <w:r>
        <w:t xml:space="preserve"> 5.8 (vs. 6.4 en Q1 2025)</w:t>
      </w:r>
    </w:p>
    <w:p>
      <w:pPr>
        <w:pStyle w:val="Heading2"/>
      </w:pPr>
      <w:r>
        <w:rPr>
          <w:color w:val="0B2545"/>
        </w:rPr>
        <w:t>4. Riesgos Identificados por la Dirección</w:t>
      </w:r>
    </w:p>
    <w:p>
      <w:pPr>
        <w:pStyle w:val="ListNumber"/>
      </w:pPr>
      <w:r>
        <w:rPr>
          <w:b/>
        </w:rPr>
        <w:t>Deterioro acelerado de cartera crediticia</w:t>
      </w:r>
      <w:r>
        <w:t xml:space="preserve"> en segmento C/D por inflación en canasta básica.</w:t>
      </w:r>
    </w:p>
    <w:p>
      <w:pPr>
        <w:pStyle w:val="ListNumber"/>
      </w:pPr>
      <w:r>
        <w:rPr>
          <w:b/>
        </w:rPr>
        <w:t>Presión competitiva de Nu México y Mercado Pago</w:t>
      </w:r>
      <w:r>
        <w:t xml:space="preserve"> en captación y crédito nómina.</w:t>
      </w:r>
    </w:p>
    <w:p>
      <w:pPr>
        <w:pStyle w:val="ListNumber"/>
      </w:pPr>
      <w:r>
        <w:rPr>
          <w:b/>
        </w:rPr>
        <w:t>Caída sostenida de audiencias lineales</w:t>
      </w:r>
      <w:r>
        <w:t xml:space="preserve"> en TV Azteca; migración a streaming no compensa ingresos publicitarios.</w:t>
      </w:r>
    </w:p>
    <w:p>
      <w:pPr>
        <w:pStyle w:val="ListNumber"/>
      </w:pPr>
      <w:r>
        <w:rPr>
          <w:b/>
        </w:rPr>
        <w:t>CapEx elevado de Totalplay</w:t>
      </w:r>
      <w:r>
        <w:t xml:space="preserve"> para expansión de red FTTH en ciudades medias (Bajío y Sureste).</w:t>
      </w:r>
    </w:p>
    <w:p>
      <w:pPr>
        <w:pStyle w:val="Heading2"/>
      </w:pPr>
      <w:r>
        <w:rPr>
          <w:color w:val="0B2545"/>
        </w:rPr>
        <w:t>5. Guidance 2026 (sin cambio)</w:t>
      </w:r>
    </w:p>
    <w:p>
      <w:pPr>
        <w:pStyle w:val="ListBullet"/>
      </w:pPr>
      <w:r>
        <w:t xml:space="preserve">Crecimiento de ingresos consolidado: </w:t>
      </w:r>
      <w:r>
        <w:rPr>
          <w:b/>
        </w:rPr>
        <w:t>+6% a +8%</w:t>
      </w:r>
    </w:p>
    <w:p>
      <w:pPr>
        <w:pStyle w:val="ListBullet"/>
      </w:pPr>
      <w:r>
        <w:t xml:space="preserve">Margen EBITDA consolidado: </w:t>
      </w:r>
      <w:r>
        <w:rPr>
          <w:b/>
        </w:rPr>
        <w:t>19% a 20%</w:t>
      </w:r>
    </w:p>
    <w:p>
      <w:pPr>
        <w:pStyle w:val="ListBullet"/>
      </w:pPr>
      <w:r>
        <w:t xml:space="preserve">CapEx consolidado: </w:t>
      </w:r>
      <w:r>
        <w:rPr>
          <w:b/>
        </w:rPr>
        <w:t>MXN 14,000 a 15,000 millones</w:t>
      </w:r>
    </w:p>
    <w:p>
      <w:pPr>
        <w:pBdr>
          <w:bottom w:val="single" w:sz="6" w:space="1" w:color="B0B6C2"/>
        </w:pBdr>
      </w:pPr>
    </w:p>
    <w:p>
      <w:r>
        <w:rPr>
          <w:i/>
        </w:rPr>
        <w:t>Documento preparado con información preliminar sujeta a auditoría externa. No distribuir fuera de Grupo Salinas.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B2545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B254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B2545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